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190B">
      <w:pPr>
        <w:widowControl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</w:p>
    <w:p w:rsidR="00000000" w:rsidRDefault="00FC190B">
      <w:pPr>
        <w:spacing w:line="560" w:lineRule="exact"/>
        <w:jc w:val="center"/>
        <w:rPr>
          <w:rFonts w:ascii="仿宋" w:eastAsia="仿宋" w:hAnsi="仿宋"/>
          <w:b/>
          <w:w w:val="90"/>
          <w:sz w:val="32"/>
          <w:szCs w:val="36"/>
        </w:rPr>
      </w:pPr>
      <w:r>
        <w:rPr>
          <w:rFonts w:ascii="仿宋" w:eastAsia="仿宋" w:hAnsi="仿宋" w:hint="eastAsia"/>
          <w:b/>
          <w:w w:val="90"/>
          <w:sz w:val="32"/>
          <w:szCs w:val="36"/>
        </w:rPr>
        <w:t>四川省大学生营销策划大方案比赛评分表及细则</w:t>
      </w:r>
    </w:p>
    <w:p w:rsidR="00000000" w:rsidRDefault="00FC190B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0"/>
        </w:rPr>
        <w:t>表一：评分表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987"/>
        <w:gridCol w:w="1454"/>
        <w:gridCol w:w="1488"/>
        <w:gridCol w:w="1654"/>
        <w:gridCol w:w="1488"/>
        <w:gridCol w:w="1488"/>
        <w:gridCol w:w="1403"/>
      </w:tblGrid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调研科学（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方案创新</w:t>
            </w:r>
          </w:p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措施可行</w:t>
            </w:r>
          </w:p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</w:t>
            </w:r>
            <w:r>
              <w:rPr>
                <w:rFonts w:ascii="宋体" w:hAnsi="宋体"/>
                <w:sz w:val="24"/>
                <w:szCs w:val="24"/>
              </w:rPr>
              <w:t>合理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文案生动</w:t>
            </w:r>
          </w:p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评分</w:t>
            </w:r>
          </w:p>
        </w:tc>
      </w:tr>
      <w:tr w:rsidR="00000000">
        <w:trPr>
          <w:trHeight w:val="586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586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586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586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612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586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586"/>
          <w:jc w:val="center"/>
        </w:trPr>
        <w:tc>
          <w:tcPr>
            <w:tcW w:w="987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4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00000" w:rsidRDefault="00FC190B">
      <w:pPr>
        <w:rPr>
          <w:b/>
          <w:sz w:val="32"/>
          <w:szCs w:val="32"/>
        </w:rPr>
      </w:pPr>
    </w:p>
    <w:p w:rsidR="00000000" w:rsidRDefault="00FC190B">
      <w:pPr>
        <w:rPr>
          <w:b/>
          <w:sz w:val="32"/>
          <w:szCs w:val="32"/>
        </w:rPr>
      </w:pPr>
    </w:p>
    <w:p w:rsidR="00000000" w:rsidRDefault="00FC190B"/>
    <w:p w:rsidR="00000000" w:rsidRDefault="00FC190B"/>
    <w:p w:rsidR="00000000" w:rsidRDefault="00FC190B"/>
    <w:p w:rsidR="00000000" w:rsidRDefault="00FC190B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0"/>
        </w:rPr>
        <w:lastRenderedPageBreak/>
        <w:t>表二：评分细则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2196"/>
        <w:gridCol w:w="3096"/>
        <w:gridCol w:w="756"/>
      </w:tblGrid>
      <w:tr w:rsidR="00000000">
        <w:trPr>
          <w:trHeight w:val="586"/>
          <w:jc w:val="center"/>
        </w:trPr>
        <w:tc>
          <w:tcPr>
            <w:tcW w:w="219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总体概述</w:t>
            </w:r>
          </w:p>
        </w:tc>
        <w:tc>
          <w:tcPr>
            <w:tcW w:w="309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评分内</w:t>
            </w:r>
            <w:r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75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分值</w:t>
            </w:r>
          </w:p>
        </w:tc>
      </w:tr>
      <w:tr w:rsidR="00000000">
        <w:trPr>
          <w:trHeight w:val="586"/>
          <w:jc w:val="center"/>
        </w:trPr>
        <w:tc>
          <w:tcPr>
            <w:tcW w:w="219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调研科学（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3096" w:type="dxa"/>
            <w:vAlign w:val="center"/>
          </w:tcPr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调研设计科学，方法正确；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调研内容全面，数据真实；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数据分析得当，结论正确；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数据应用合理，支撑有力。</w:t>
            </w:r>
          </w:p>
        </w:tc>
        <w:tc>
          <w:tcPr>
            <w:tcW w:w="75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000000">
        <w:trPr>
          <w:trHeight w:val="612"/>
          <w:jc w:val="center"/>
        </w:trPr>
        <w:tc>
          <w:tcPr>
            <w:tcW w:w="219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方案创新（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3096" w:type="dxa"/>
            <w:vAlign w:val="center"/>
          </w:tcPr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主题新颖；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创意独特；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设计艺术；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策略创新。</w:t>
            </w:r>
          </w:p>
        </w:tc>
        <w:tc>
          <w:tcPr>
            <w:tcW w:w="75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000000">
        <w:trPr>
          <w:trHeight w:val="612"/>
          <w:jc w:val="center"/>
        </w:trPr>
        <w:tc>
          <w:tcPr>
            <w:tcW w:w="219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措施可行（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3096" w:type="dxa"/>
            <w:vAlign w:val="center"/>
          </w:tcPr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目标清晰而具体；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措施得当而可行；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活动具体而有保障。</w:t>
            </w:r>
          </w:p>
        </w:tc>
        <w:tc>
          <w:tcPr>
            <w:tcW w:w="75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000000">
        <w:trPr>
          <w:trHeight w:val="612"/>
          <w:jc w:val="center"/>
        </w:trPr>
        <w:tc>
          <w:tcPr>
            <w:tcW w:w="219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</w:t>
            </w:r>
            <w:r>
              <w:rPr>
                <w:rFonts w:ascii="宋体" w:hAnsi="宋体"/>
                <w:sz w:val="24"/>
                <w:szCs w:val="24"/>
              </w:rPr>
              <w:t>合理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3096" w:type="dxa"/>
            <w:vAlign w:val="center"/>
          </w:tcPr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预算依据可靠；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预算明细清晰；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费用与效果匹配；</w:t>
            </w:r>
          </w:p>
        </w:tc>
        <w:tc>
          <w:tcPr>
            <w:tcW w:w="75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000000">
        <w:trPr>
          <w:trHeight w:val="586"/>
          <w:jc w:val="center"/>
        </w:trPr>
        <w:tc>
          <w:tcPr>
            <w:tcW w:w="219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文案生动（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3096" w:type="dxa"/>
            <w:vAlign w:val="center"/>
          </w:tcPr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文字表述通顺；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文本图表规范；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术语正确准确；</w:t>
            </w:r>
          </w:p>
          <w:p w:rsidR="00000000" w:rsidRDefault="00FC190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文案呈现生动。</w:t>
            </w:r>
          </w:p>
        </w:tc>
        <w:tc>
          <w:tcPr>
            <w:tcW w:w="756" w:type="dxa"/>
            <w:vAlign w:val="center"/>
          </w:tcPr>
          <w:p w:rsidR="00000000" w:rsidRDefault="00FC19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</w:tbl>
    <w:p w:rsidR="00000000" w:rsidRDefault="00FC190B">
      <w:pPr>
        <w:rPr>
          <w:b/>
          <w:sz w:val="32"/>
          <w:szCs w:val="32"/>
        </w:rPr>
      </w:pPr>
    </w:p>
    <w:p w:rsidR="00000000" w:rsidRDefault="00FC190B">
      <w:pPr>
        <w:rPr>
          <w:b/>
          <w:sz w:val="32"/>
          <w:szCs w:val="32"/>
        </w:rPr>
      </w:pPr>
    </w:p>
    <w:p w:rsidR="00000000" w:rsidRDefault="00FC190B"/>
    <w:p w:rsidR="00000000" w:rsidRDefault="00FC190B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四川</w:t>
      </w:r>
      <w:r>
        <w:rPr>
          <w:rFonts w:hint="eastAsia"/>
          <w:sz w:val="24"/>
          <w:szCs w:val="24"/>
        </w:rPr>
        <w:t>省</w:t>
      </w:r>
      <w:r>
        <w:rPr>
          <w:sz w:val="24"/>
          <w:szCs w:val="24"/>
        </w:rPr>
        <w:t>大学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营销策划大</w:t>
      </w:r>
      <w:r>
        <w:rPr>
          <w:sz w:val="24"/>
          <w:szCs w:val="24"/>
        </w:rPr>
        <w:t>赛组委会</w:t>
      </w:r>
    </w:p>
    <w:p w:rsidR="00000000" w:rsidRDefault="00FC190B">
      <w:pPr>
        <w:ind w:right="420" w:firstLine="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201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日</w:t>
      </w:r>
    </w:p>
    <w:p w:rsidR="00000000" w:rsidRDefault="00FC190B"/>
    <w:p w:rsidR="00000000" w:rsidRDefault="00FC190B">
      <w:pPr>
        <w:rPr>
          <w:b/>
          <w:sz w:val="32"/>
          <w:szCs w:val="32"/>
        </w:rPr>
      </w:pPr>
    </w:p>
    <w:p w:rsidR="00FC190B" w:rsidRDefault="00FC190B"/>
    <w:sectPr w:rsidR="00FC190B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0B" w:rsidRDefault="00FC190B" w:rsidP="009C67C9">
      <w:r>
        <w:separator/>
      </w:r>
    </w:p>
  </w:endnote>
  <w:endnote w:type="continuationSeparator" w:id="0">
    <w:p w:rsidR="00FC190B" w:rsidRDefault="00FC190B" w:rsidP="009C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0B" w:rsidRDefault="00FC190B" w:rsidP="009C67C9">
      <w:r>
        <w:separator/>
      </w:r>
    </w:p>
  </w:footnote>
  <w:footnote w:type="continuationSeparator" w:id="0">
    <w:p w:rsidR="00FC190B" w:rsidRDefault="00FC190B" w:rsidP="009C6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66B39"/>
    <w:rsid w:val="009C67C9"/>
    <w:rsid w:val="00FC190B"/>
    <w:rsid w:val="4ED6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C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67C9"/>
    <w:rPr>
      <w:kern w:val="2"/>
      <w:sz w:val="18"/>
      <w:szCs w:val="18"/>
    </w:rPr>
  </w:style>
  <w:style w:type="paragraph" w:styleId="a5">
    <w:name w:val="footer"/>
    <w:basedOn w:val="a"/>
    <w:link w:val="Char0"/>
    <w:rsid w:val="009C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67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思凡</dc:creator>
  <cp:lastModifiedBy>Hr-Pc</cp:lastModifiedBy>
  <cp:revision>2</cp:revision>
  <dcterms:created xsi:type="dcterms:W3CDTF">2018-04-09T07:42:00Z</dcterms:created>
  <dcterms:modified xsi:type="dcterms:W3CDTF">2018-04-09T07:42:00Z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