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36" w:rsidRDefault="006D4336"/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8306"/>
      </w:tblGrid>
      <w:tr w:rsidR="006D4336" w:rsidRPr="006D4336" w:rsidTr="006D4336">
        <w:trPr>
          <w:jc w:val="center"/>
        </w:trPr>
        <w:tc>
          <w:tcPr>
            <w:tcW w:w="0" w:type="auto"/>
            <w:vAlign w:val="center"/>
            <w:hideMark/>
          </w:tcPr>
          <w:p w:rsidR="006D4336" w:rsidRPr="006D4336" w:rsidRDefault="006D4336" w:rsidP="006D433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D4336">
              <w:rPr>
                <w:rFonts w:ascii="宋体" w:eastAsia="宋体" w:hAnsi="宋体" w:cs="宋体"/>
                <w:sz w:val="24"/>
                <w:szCs w:val="24"/>
              </w:rPr>
              <w:t>关于开展2015年四川省社会科学高水平研究团队申报工作的通知</w:t>
            </w:r>
          </w:p>
        </w:tc>
      </w:tr>
      <w:tr w:rsidR="006D4336" w:rsidRPr="006D4336" w:rsidTr="006D4336">
        <w:trPr>
          <w:jc w:val="center"/>
        </w:trPr>
        <w:tc>
          <w:tcPr>
            <w:tcW w:w="0" w:type="auto"/>
            <w:vAlign w:val="center"/>
            <w:hideMark/>
          </w:tcPr>
          <w:p w:rsidR="006D4336" w:rsidRPr="006D4336" w:rsidRDefault="006D4336" w:rsidP="006D433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6D4336" w:rsidRDefault="006D4336" w:rsidP="006D4336">
      <w:pPr>
        <w:shd w:val="clear" w:color="auto" w:fill="FFFFFF"/>
        <w:adjustRightInd/>
        <w:snapToGrid/>
        <w:spacing w:after="0" w:line="390" w:lineRule="atLeast"/>
        <w:rPr>
          <w:rFonts w:ascii="仿宋" w:eastAsia="仿宋" w:hAnsi="仿宋" w:cs="宋体" w:hint="eastAsia"/>
          <w:color w:val="474747"/>
          <w:sz w:val="32"/>
          <w:szCs w:val="32"/>
        </w:rPr>
      </w:pP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rPr>
          <w:rFonts w:ascii="宋体" w:eastAsia="宋体" w:hAnsi="宋体" w:cs="宋体" w:hint="eastAsia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各有关单位：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为大力推进我省社会科学基础理论研究、应用对策研究，培育和支持一批我省优秀的社会科学研究群体，形成优秀人才的团队效应，提升我省社会科学队伍的创新能力和竞争实力，推动我省优势特色学科建设,省社科联决定开展2015年四川省社会科学高水平研究团队（以下简称高水平团队）申报工作。现将申报工作有关事项通知如下：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ind w:firstLine="643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楷体" w:eastAsia="楷体" w:hAnsi="楷体" w:cs="宋体" w:hint="eastAsia"/>
          <w:b/>
          <w:bCs/>
          <w:color w:val="474747"/>
          <w:sz w:val="32"/>
          <w:szCs w:val="32"/>
        </w:rPr>
        <w:t>一、申报对象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_GB2312" w:eastAsia="仿宋_GB2312" w:hAnsi="宋体" w:cs="宋体" w:hint="eastAsia"/>
          <w:color w:val="474747"/>
          <w:sz w:val="30"/>
          <w:szCs w:val="30"/>
        </w:rPr>
        <w:t>    </w:t>
      </w:r>
      <w:r w:rsidRPr="006D4336">
        <w:rPr>
          <w:rFonts w:ascii="仿宋_GB2312" w:eastAsia="仿宋_GB2312" w:hAnsi="宋体" w:cs="宋体" w:hint="eastAsia"/>
          <w:color w:val="474747"/>
          <w:sz w:val="32"/>
          <w:szCs w:val="32"/>
        </w:rPr>
        <w:t>符合《四川省社会科学高水平研究团队建设计划管理办法》（试行）有关规定的省属（含省部共建）普通高等学校的研究团队。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ind w:firstLine="643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楷体" w:eastAsia="楷体" w:hAnsi="楷体" w:cs="宋体" w:hint="eastAsia"/>
          <w:b/>
          <w:bCs/>
          <w:color w:val="474747"/>
          <w:sz w:val="32"/>
          <w:szCs w:val="32"/>
        </w:rPr>
        <w:t>二、申报时限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截至2015年4月20日止，逾期不再受理。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ind w:firstLine="643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楷体" w:eastAsia="楷体" w:hAnsi="楷体" w:cs="宋体" w:hint="eastAsia"/>
          <w:b/>
          <w:bCs/>
          <w:color w:val="474747"/>
          <w:sz w:val="32"/>
          <w:szCs w:val="32"/>
        </w:rPr>
        <w:t>三、申报材料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宋体" w:eastAsia="宋体" w:hAnsi="宋体" w:cs="宋体" w:hint="eastAsia"/>
          <w:b/>
          <w:bCs/>
          <w:color w:val="474747"/>
          <w:sz w:val="32"/>
          <w:szCs w:val="32"/>
        </w:rPr>
        <w:t>   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请各学校科研管理部门统一收取下列材料，报送到省社科规划办。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lastRenderedPageBreak/>
        <w:t>1、《四川省社会科学高水平研究团队申报书》（以下简称《申报书》，见附件）。《申报书》一律用计算机填写、A3纸双面印制中缝装订，一式6份，至少1份原件。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2、证明材料一式6份，单独装订。具体内容详见《申报书》填表说明。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3、《申报书》电子版、《2015年四川省社会科学高水平研究团队申报单位汇总表》电子版和10分钟答辩PPT演示材料。主题标注“XX单位XX团队材料”，发送到电子邮箱：</w:t>
      </w:r>
      <w:proofErr w:type="spellStart"/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scghpjb</w:t>
      </w:r>
      <w:proofErr w:type="spellEnd"/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  <w:r w:rsidRPr="006D4336">
        <w:rPr>
          <w:rFonts w:ascii="仿宋" w:eastAsia="仿宋" w:hAnsi="仿宋" w:cs="仿宋" w:hint="eastAsia"/>
          <w:color w:val="474747"/>
          <w:sz w:val="32"/>
          <w:szCs w:val="32"/>
        </w:rPr>
        <w:t>@163.com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。截止时间为4月20日15：00，请一次性报送，不要重复发送。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255" w:lineRule="atLeast"/>
        <w:ind w:firstLine="643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楷体" w:eastAsia="楷体" w:hAnsi="楷体" w:cs="宋体" w:hint="eastAsia"/>
          <w:b/>
          <w:bCs/>
          <w:color w:val="474747"/>
          <w:sz w:val="32"/>
          <w:szCs w:val="32"/>
        </w:rPr>
        <w:t>四、评审程序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由省社科规划办对申报团队进行资格审查后，组织专家进行答辩评审，答辩相关事宜另行通知各学校科研管理部门。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通讯地址：成都市大石西路科联街19号四川省社会科学规划办公室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邮政编码：610071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联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系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人：黄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兵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赵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静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吴茂生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proofErr w:type="gramStart"/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周宅贤</w:t>
      </w:r>
      <w:proofErr w:type="gramEnd"/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   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lastRenderedPageBreak/>
        <w:t>联系电话：(028)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  <w:r w:rsidRPr="006D4336">
        <w:rPr>
          <w:rFonts w:ascii="仿宋" w:eastAsia="仿宋" w:hAnsi="仿宋" w:cs="仿宋" w:hint="eastAsia"/>
          <w:color w:val="474747"/>
          <w:sz w:val="32"/>
          <w:szCs w:val="32"/>
        </w:rPr>
        <w:t>82973598</w:t>
      </w:r>
      <w:proofErr w:type="gramStart"/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仿宋" w:hint="eastAsia"/>
          <w:color w:val="474747"/>
          <w:sz w:val="32"/>
          <w:szCs w:val="32"/>
        </w:rPr>
        <w:t>82973548</w:t>
      </w:r>
      <w:proofErr w:type="gramEnd"/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</w:t>
      </w:r>
      <w:r w:rsidRPr="006D4336">
        <w:rPr>
          <w:rFonts w:ascii="仿宋" w:eastAsia="仿宋" w:hAnsi="仿宋" w:cs="仿宋" w:hint="eastAsia"/>
          <w:color w:val="474747"/>
          <w:sz w:val="32"/>
          <w:szCs w:val="32"/>
        </w:rPr>
        <w:t>82973517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附件：1、四川省社会科学高水平研究团队申报书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    </w:t>
      </w:r>
      <w:r w:rsidRPr="006D4336">
        <w:rPr>
          <w:rFonts w:ascii="仿宋" w:eastAsia="仿宋" w:hAnsi="仿宋" w:cs="仿宋" w:hint="eastAsia"/>
          <w:color w:val="474747"/>
          <w:sz w:val="32"/>
          <w:szCs w:val="32"/>
        </w:rPr>
        <w:t>2</w:t>
      </w: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、2015年四川省社会科学高水平研究团队申报单位汇总表</w:t>
      </w: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63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宋体" w:eastAsia="宋体" w:hAnsi="宋体" w:cs="宋体" w:hint="eastAsia"/>
          <w:color w:val="474747"/>
          <w:sz w:val="32"/>
          <w:szCs w:val="32"/>
        </w:rPr>
        <w:t> 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4160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四川省社会科学规划办公室</w:t>
      </w:r>
    </w:p>
    <w:p w:rsidR="006D4336" w:rsidRPr="006D4336" w:rsidRDefault="006D4336" w:rsidP="006D4336">
      <w:pPr>
        <w:shd w:val="clear" w:color="auto" w:fill="FFFFFF"/>
        <w:adjustRightInd/>
        <w:snapToGrid/>
        <w:spacing w:after="0" w:line="390" w:lineRule="atLeast"/>
        <w:ind w:firstLine="4784"/>
        <w:rPr>
          <w:rFonts w:ascii="宋体" w:eastAsia="宋体" w:hAnsi="宋体" w:cs="宋体"/>
          <w:color w:val="474747"/>
          <w:sz w:val="24"/>
          <w:szCs w:val="24"/>
        </w:rPr>
      </w:pPr>
      <w:r w:rsidRPr="006D4336">
        <w:rPr>
          <w:rFonts w:ascii="仿宋" w:eastAsia="仿宋" w:hAnsi="仿宋" w:cs="宋体" w:hint="eastAsia"/>
          <w:color w:val="474747"/>
          <w:sz w:val="32"/>
          <w:szCs w:val="32"/>
        </w:rPr>
        <w:t>2015年3月30日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D4336"/>
    <w:rsid w:val="00323B43"/>
    <w:rsid w:val="003D37D8"/>
    <w:rsid w:val="004358AB"/>
    <w:rsid w:val="00510756"/>
    <w:rsid w:val="006D4336"/>
    <w:rsid w:val="00750106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4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2015-04-03T09:41:00Z</dcterms:created>
  <dcterms:modified xsi:type="dcterms:W3CDTF">2015-04-03T09:42:00Z</dcterms:modified>
</cp:coreProperties>
</file>